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t>Legal AI client data checklist</w:t>
      </w:r>
    </w:p>
    <w:p>
      <w:pPr>
        <w:spacing w:after="100"/>
      </w:pPr>
      <w:r>
        <w:t>Use this vendor questionnaire to assess a specific product and deployment. Ask for written answers and evidence, then record the checks your firm has completed. Pages 5 and 6 include a fictional assessment and a practical test script.</w:t>
      </w:r>
    </w:p>
    <w:p>
      <w:pPr>
        <w:spacing w:after="120"/>
      </w:pPr>
      <w:r>
        <w:rPr>
          <w:sz w:val="20"/>
        </w:rPr>
        <w:t>Use fictional or firm-approved test data. Do not upload real client material before clearance. Keep this sheet with the firm's assessment and recheck it when the service or intended use changes.</w:t>
      </w:r>
    </w:p>
    <w:p>
      <w:pPr>
        <w:spacing w:after="80"/>
      </w:pPr>
      <w:r>
        <w:rPr>
          <w:b/>
        </w:rPr>
        <w:t>Vendor and product:</w:t>
      </w:r>
      <w:r>
        <w:t xml:space="preserve"> ________________________________________________________</w:t>
      </w:r>
    </w:p>
    <w:p>
      <w:pPr>
        <w:spacing w:after="80"/>
      </w:pPr>
      <w:r>
        <w:rPr>
          <w:b/>
        </w:rPr>
        <w:t>Plan and deployment regions:</w:t>
      </w:r>
      <w:r>
        <w:t xml:space="preserve"> _______________________________________________</w:t>
      </w:r>
    </w:p>
    <w:p>
      <w:pPr>
        <w:spacing w:after="80"/>
      </w:pPr>
      <w:r>
        <w:rPr>
          <w:b/>
        </w:rPr>
        <w:t>Vendor respondent and date:</w:t>
      </w:r>
      <w:r>
        <w:t xml:space="preserve"> ________________________________________________</w:t>
      </w:r>
    </w:p>
    <w:p>
      <w:pPr>
        <w:spacing w:after="80"/>
      </w:pPr>
      <w:r>
        <w:rPr>
          <w:b/>
        </w:rPr>
        <w:t>Firm reviewer and intended use:</w:t>
      </w:r>
      <w:r>
        <w:t xml:space="preserve"> ____________________________________________</w:t>
      </w:r>
    </w:p>
    <w:p>
      <w:pPr>
        <w:pStyle w:val="Heading1"/>
      </w:pPr>
      <w:r>
        <w:t>1  Data flow and copies</w:t>
      </w:r>
    </w:p>
    <w:p>
      <w:pPr>
        <w:spacing w:after="80"/>
      </w:pPr>
      <w:r>
        <w:t>Where does information travel during retrieval and model inference, and which copies are stored? Include source documents, extracts, prompts, outputs, indexes and logs. State the locations and purpose of each step.</w:t>
      </w:r>
    </w:p>
    <w:p>
      <w:pPr>
        <w:spacing w:after="80"/>
      </w:pPr>
      <w:r>
        <w:rPr>
          <w:b/>
        </w:rPr>
        <w:t xml:space="preserve">Request evidence: </w:t>
      </w:r>
      <w:r>
        <w:t>A current data-flow diagram and service-specific description identifying storage, inference locations and the system of record.</w:t>
      </w:r>
    </w:p>
    <w:p>
      <w:pPr>
        <w:spacing w:after="120"/>
      </w:pPr>
      <w:r>
        <w:rPr>
          <w:b/>
        </w:rPr>
        <w:t xml:space="preserve">Suggested test: </w:t>
      </w:r>
      <w:r>
        <w:t>Follow a fictional document through one workflow. Reconcile each processing step and stored copy with the diagram.</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pPr>
        <w:pStyle w:val="Heading1"/>
      </w:pPr>
      <w:r>
        <w:t>2  Permissions and human access</w:t>
      </w:r>
    </w:p>
    <w:p>
      <w:pPr>
        <w:spacing w:after="80"/>
      </w:pPr>
      <w:r>
        <w:t>Whose permissions apply to retrieval? Explain when access is checked, how revocation reaches indexes and caches, and which vendor, provider or support staff can access the data.</w:t>
      </w:r>
    </w:p>
    <w:p>
      <w:pPr>
        <w:spacing w:after="80"/>
      </w:pPr>
      <w:r>
        <w:rPr>
          <w:b/>
        </w:rPr>
        <w:t xml:space="preserve">Request evidence: </w:t>
      </w:r>
      <w:r>
        <w:t>Access-control design, revocation timing, privileged-access controls and relevant audit records or a sample.</w:t>
      </w:r>
    </w:p>
    <w:p>
      <w:pPr>
        <w:spacing w:after="120"/>
      </w:pPr>
      <w:r>
        <w:rPr>
          <w:b/>
        </w:rPr>
        <w:t xml:space="preserve">Suggested test: </w:t>
      </w:r>
      <w:r>
        <w:t>Use authorised and restricted test accounts, then revoke access. Check search, existing conversations and cached results after the stated interval.</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r>
        <w:br w:type="page"/>
      </w:r>
    </w:p>
    <w:p>
      <w:pPr>
        <w:pStyle w:val="Heading1"/>
      </w:pPr>
      <w:r>
        <w:t>Training and the data lifecycle</w:t>
      </w:r>
    </w:p>
    <w:p>
      <w:pPr>
        <w:pStyle w:val="Heading1"/>
      </w:pPr>
      <w:r>
        <w:t>3  Training use</w:t>
      </w:r>
    </w:p>
    <w:p>
      <w:pPr>
        <w:spacing w:after="80"/>
      </w:pPr>
      <w:r>
        <w:t>Can the vendor or any downstream provider use inputs, outputs or other client data to train or improve models? Identify defaults, opt-ins, exclusions and contractual commitments. Describe retention separately.</w:t>
      </w:r>
    </w:p>
    <w:p>
      <w:pPr>
        <w:spacing w:after="80"/>
      </w:pPr>
      <w:r>
        <w:rPr>
          <w:b/>
        </w:rPr>
        <w:t xml:space="preserve">Request evidence: </w:t>
      </w:r>
      <w:r>
        <w:t>The applicable contract terms and provider terms for the selected service, plan and settings. Identify any exceptions or gaps in coverage.</w:t>
      </w:r>
    </w:p>
    <w:p>
      <w:pPr>
        <w:spacing w:after="120"/>
      </w:pPr>
      <w:r>
        <w:rPr>
          <w:b/>
        </w:rPr>
        <w:t xml:space="preserve">Suggested test: </w:t>
      </w:r>
      <w:r>
        <w:t>Inspect the proposed account settings and match them to the contractual scope. Record any setting that could enable training or data sharing.</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pPr>
        <w:pStyle w:val="Heading1"/>
      </w:pPr>
      <w:r>
        <w:t>4  Retention and deletion</w:t>
      </w:r>
    </w:p>
    <w:p>
      <w:pPr>
        <w:spacing w:after="80"/>
      </w:pPr>
      <w:r>
        <w:t>What is retained, where and for how long? Cover documents, prompts, outputs, embeddings, logs and backups. Explain deletion triggers, completion times, legal holds and any residual copies.</w:t>
      </w:r>
    </w:p>
    <w:p>
      <w:pPr>
        <w:spacing w:after="80"/>
      </w:pPr>
      <w:r>
        <w:rPr>
          <w:b/>
        </w:rPr>
        <w:t xml:space="preserve">Request evidence: </w:t>
      </w:r>
      <w:r>
        <w:t>A retention schedule by data type, deletion procedure, backup expiry rules, legal-hold exceptions and the form of deletion evidence available.</w:t>
      </w:r>
    </w:p>
    <w:p>
      <w:pPr>
        <w:spacing w:after="120"/>
      </w:pPr>
      <w:r>
        <w:rPr>
          <w:b/>
        </w:rPr>
        <w:t xml:space="preserve">Suggested test: </w:t>
      </w:r>
      <w:r>
        <w:t>Delete fictional test material and check the supported retrieval paths. Ask how remaining copies are handled and what evidence confirms completion.</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pPr>
        <w:pStyle w:val="Heading1"/>
        <w:spacing w:after="100"/>
      </w:pPr>
      <w:r>
        <w:t>Evidence register</w:t>
      </w:r>
    </w:p>
    <w:p>
      <w:pPr>
        <w:spacing w:after="120"/>
      </w:pPr>
      <w:r>
        <w:t>List document names, versions, dates and clause or page references. Mark evidence as received, reviewed or outstanding. Store confidential vendor material in the firm's approved location.</w:t>
      </w:r>
    </w:p>
    <w:p>
      <w:pPr>
        <w:spacing w:after="80"/>
      </w:pPr>
      <w:r>
        <w:rPr>
          <w:b/>
        </w:rPr>
        <w:t>Reference 1:</w:t>
      </w:r>
      <w:r>
        <w:t xml:space="preserve"> _______________________________________________________________</w:t>
      </w:r>
    </w:p>
    <w:p>
      <w:pPr>
        <w:spacing w:after="80"/>
      </w:pPr>
      <w:r>
        <w:rPr>
          <w:b/>
        </w:rPr>
        <w:t>Reference 2:</w:t>
      </w:r>
      <w:r>
        <w:t xml:space="preserve"> _______________________________________________________________</w:t>
      </w:r>
    </w:p>
    <w:p>
      <w:pPr>
        <w:spacing w:after="80"/>
      </w:pPr>
      <w:r>
        <w:rPr>
          <w:b/>
        </w:rPr>
        <w:t>Reference 3:</w:t>
      </w:r>
      <w:r>
        <w:t xml:space="preserve"> _______________________________________________________________</w:t>
      </w:r>
    </w:p>
    <w:p>
      <w:pPr>
        <w:spacing w:after="80"/>
      </w:pPr>
      <w:r>
        <w:rPr>
          <w:b/>
        </w:rPr>
        <w:t>Reference 4:</w:t>
      </w:r>
      <w:r>
        <w:t xml:space="preserve"> _______________________________________________________________</w:t>
      </w:r>
    </w:p>
    <w:p>
      <w:r>
        <w:br w:type="page"/>
      </w:r>
    </w:p>
    <w:p>
      <w:pPr>
        <w:pStyle w:val="Heading1"/>
      </w:pPr>
      <w:r>
        <w:t>Supervision and legal sources</w:t>
      </w:r>
    </w:p>
    <w:p>
      <w:pPr>
        <w:pStyle w:val="Heading1"/>
      </w:pPr>
      <w:r>
        <w:t>5  Reviewing the work</w:t>
      </w:r>
    </w:p>
    <w:p>
      <w:pPr>
        <w:spacing w:after="80"/>
      </w:pPr>
      <w:r>
        <w:t>Can the supervising lawyer inspect the material used, the applicable playbook and version, the output and the changes made? Identify what is recorded, exported or saved and any limits on reconstructing the work.</w:t>
      </w:r>
    </w:p>
    <w:p>
      <w:pPr>
        <w:spacing w:after="80"/>
      </w:pPr>
      <w:r>
        <w:rPr>
          <w:b/>
        </w:rPr>
        <w:t xml:space="preserve">Request evidence: </w:t>
      </w:r>
      <w:r>
        <w:t>A sample output and review record showing source references, playbook version, proposed edits and approval history where available.</w:t>
      </w:r>
    </w:p>
    <w:p>
      <w:pPr>
        <w:spacing w:after="120"/>
      </w:pPr>
      <w:r>
        <w:rPr>
          <w:b/>
        </w:rPr>
        <w:t xml:space="preserve">Suggested test: </w:t>
      </w:r>
      <w:r>
        <w:t>Review a fictional matter. Trace a finding to its source and playbook rule, inspect the proposed changes, and check what remains after the session.</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pPr>
        <w:pStyle w:val="Heading1"/>
      </w:pPr>
      <w:r>
        <w:t>6  Checking legal sources</w:t>
      </w:r>
    </w:p>
    <w:p>
      <w:pPr>
        <w:spacing w:after="80"/>
      </w:pPr>
      <w:r>
        <w:t>How are jurisdiction, source dates and currency shown? Can a lawyer open the cited authority and verify that it supports the particular proposition? Explain the response when the relevant source is unavailable.</w:t>
      </w:r>
    </w:p>
    <w:p>
      <w:pPr>
        <w:spacing w:after="80"/>
      </w:pPr>
      <w:r>
        <w:rPr>
          <w:b/>
        </w:rPr>
        <w:t xml:space="preserve">Request evidence: </w:t>
      </w:r>
      <w:r>
        <w:t>A source-coverage description and sample answers with accessible citations, source dates and stated limitations.</w:t>
      </w:r>
    </w:p>
    <w:p>
      <w:pPr>
        <w:spacing w:after="120"/>
      </w:pPr>
      <w:r>
        <w:rPr>
          <w:b/>
        </w:rPr>
        <w:t xml:space="preserve">Suggested test: </w:t>
      </w:r>
      <w:r>
        <w:t>Ask one question with a known supporting authority and one with an unavailable source. Open every citation and assess the proposition, jurisdiction and date.</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pPr>
        <w:pStyle w:val="Heading1"/>
        <w:spacing w:after="100"/>
      </w:pPr>
      <w:r>
        <w:t>Reviewer notes</w:t>
      </w:r>
    </w:p>
    <w:p>
      <w:pPr>
        <w:spacing w:after="140"/>
      </w:pPr>
      <w:r>
        <w:t>Record disagreements, limitations and any conditions that should appear in the firm's instructions to users.</w:t>
      </w:r>
    </w:p>
    <w:p>
      <w:pPr>
        <w:spacing w:after="120"/>
      </w:pPr>
      <w:r>
        <w:t>__________________________________________________________________________________________</w:t>
      </w:r>
    </w:p>
    <w:p>
      <w:pPr>
        <w:spacing w:after="120"/>
      </w:pPr>
      <w:r>
        <w:t>__________________________________________________________________________________________</w:t>
      </w:r>
    </w:p>
    <w:p>
      <w:pPr>
        <w:spacing w:after="120"/>
      </w:pPr>
      <w:r>
        <w:t>__________________________________________________________________________________________</w:t>
      </w:r>
    </w:p>
    <w:p>
      <w:pPr>
        <w:spacing w:after="120"/>
      </w:pPr>
      <w:r>
        <w:t>__________________________________________________________________________________________</w:t>
      </w:r>
    </w:p>
    <w:p>
      <w:pPr>
        <w:spacing w:after="120"/>
      </w:pPr>
      <w:r>
        <w:t>__________________________________________________________________________________________</w:t>
      </w:r>
    </w:p>
    <w:p>
      <w:r>
        <w:br w:type="page"/>
      </w:r>
    </w:p>
    <w:p>
      <w:pPr>
        <w:pStyle w:val="Heading1"/>
      </w:pPr>
      <w:r>
        <w:t>Providers and permitted actions</w:t>
      </w:r>
    </w:p>
    <w:p>
      <w:pPr>
        <w:pStyle w:val="Heading1"/>
      </w:pPr>
      <w:r>
        <w:t>7  Subprocessors and incident handling</w:t>
      </w:r>
    </w:p>
    <w:p>
      <w:pPr>
        <w:spacing w:after="80"/>
      </w:pPr>
      <w:r>
        <w:t>Which named subprocessors handle the data, for which services and in which regions? Include data received, remote support access, change notices and the process for escalating an incident to the firm.</w:t>
      </w:r>
    </w:p>
    <w:p>
      <w:pPr>
        <w:spacing w:after="80"/>
      </w:pPr>
      <w:r>
        <w:rPr>
          <w:b/>
        </w:rPr>
        <w:t xml:space="preserve">Request evidence: </w:t>
      </w:r>
      <w:r>
        <w:t>The current subprocessor list, service and region details, relevant contract terms, change-notice process and incident contacts with notification commitments.</w:t>
      </w:r>
    </w:p>
    <w:p>
      <w:pPr>
        <w:spacing w:after="120"/>
      </w:pPr>
      <w:r>
        <w:rPr>
          <w:b/>
        </w:rPr>
        <w:t xml:space="preserve">Suggested test: </w:t>
      </w:r>
      <w:r>
        <w:t>Match each provider to the data-flow diagram. Walk through a provider change and a fictional incident, including who notifies the firm and when.</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pPr>
        <w:pStyle w:val="Heading1"/>
      </w:pPr>
      <w:r>
        <w:t>8  Actions and approval</w:t>
      </w:r>
    </w:p>
    <w:p>
      <w:pPr>
        <w:spacing w:after="80"/>
      </w:pPr>
      <w:r>
        <w:t>Which actions can the tool take? Explain drafting, saving, updating records and sending separately. State the approval controls, permissions and logs, and how they fit the firm's policy and client requirements.</w:t>
      </w:r>
    </w:p>
    <w:p>
      <w:pPr>
        <w:spacing w:after="80"/>
      </w:pPr>
      <w:r>
        <w:rPr>
          <w:b/>
        </w:rPr>
        <w:t xml:space="preserve">Request evidence: </w:t>
      </w:r>
      <w:r>
        <w:t>An action and permission list, approval settings and sample audit records. Identify the firm policy owner and any required client clearance.</w:t>
      </w:r>
    </w:p>
    <w:p>
      <w:pPr>
        <w:spacing w:after="120"/>
      </w:pPr>
      <w:r>
        <w:rPr>
          <w:b/>
        </w:rPr>
        <w:t xml:space="preserve">Suggested test: </w:t>
      </w:r>
      <w:r>
        <w:t>Demonstrate each permitted action using fictional data. Try a restricted action and record what is blocked, what needs approval and what is logged.</w:t>
      </w:r>
    </w:p>
    <w:p>
      <w:pPr>
        <w:spacing w:after="80"/>
      </w:pPr>
      <w:r>
        <w:rPr>
          <w:b/>
        </w:rPr>
        <w:t>Answer and conditions:</w:t>
      </w:r>
      <w:r>
        <w:t xml:space="preserve"> _____________________________________________________</w:t>
      </w:r>
    </w:p>
    <w:p>
      <w:pPr>
        <w:spacing w:after="80"/>
      </w:pPr>
      <w:r>
        <w:t>__________________________________________________________________________________________</w:t>
      </w:r>
    </w:p>
    <w:p>
      <w:pPr>
        <w:spacing w:after="80"/>
      </w:pPr>
      <w:r>
        <w:rPr>
          <w:b/>
        </w:rPr>
        <w:t>Evidence reference and date:</w:t>
      </w:r>
      <w:r>
        <w:t xml:space="preserve"> _______________________________________________</w:t>
      </w:r>
    </w:p>
    <w:p>
      <w:pPr>
        <w:spacing w:after="80"/>
      </w:pPr>
      <w:r>
        <w:rPr>
          <w:b/>
        </w:rPr>
        <w:t>Test result and date:</w:t>
      </w:r>
      <w:r>
        <w:t xml:space="preserve"> ______________________________________________________</w:t>
      </w:r>
    </w:p>
    <w:p>
      <w:pPr>
        <w:spacing w:after="80"/>
      </w:pPr>
      <w:r>
        <w:rPr>
          <w:b/>
        </w:rPr>
        <w:t>Gap or exception, owner, due date:</w:t>
      </w:r>
      <w:r>
        <w:t xml:space="preserve"> _________________________________________</w:t>
      </w:r>
    </w:p>
    <w:p>
      <w:pPr>
        <w:pStyle w:val="Heading1"/>
        <w:spacing w:after="100"/>
      </w:pPr>
      <w:r>
        <w:t>Firm decision</w:t>
      </w:r>
    </w:p>
    <w:p>
      <w:pPr>
        <w:spacing w:after="120"/>
      </w:pPr>
      <w:r>
        <w:t>Decision:  [ ] Approved   [ ] Approved with conditions   [ ] Further evidence   [ ] Declined</w:t>
      </w:r>
    </w:p>
    <w:p>
      <w:pPr>
        <w:spacing w:after="80"/>
      </w:pPr>
      <w:r>
        <w:rPr>
          <w:b/>
        </w:rPr>
        <w:t>Approved scope and conditions:</w:t>
      </w:r>
      <w:r>
        <w:t xml:space="preserve"> _____________________________________________</w:t>
      </w:r>
    </w:p>
    <w:p>
      <w:pPr>
        <w:spacing w:after="80"/>
      </w:pPr>
      <w:r>
        <w:rPr>
          <w:b/>
        </w:rPr>
        <w:t>Decision owner and date:</w:t>
      </w:r>
      <w:r>
        <w:t xml:space="preserve"> ___________________________________________________</w:t>
      </w:r>
    </w:p>
    <w:p>
      <w:pPr>
        <w:spacing w:after="80"/>
      </w:pPr>
      <w:r>
        <w:rPr>
          <w:b/>
        </w:rPr>
        <w:t>Outstanding gaps, owners and due dates:</w:t>
      </w:r>
      <w:r>
        <w:t xml:space="preserve"> ____________________________________</w:t>
      </w:r>
    </w:p>
    <w:p>
      <w:pPr>
        <w:spacing w:after="80"/>
      </w:pPr>
      <w:r>
        <w:rPr>
          <w:b/>
        </w:rPr>
        <w:t>Retest date and change triggers:</w:t>
      </w:r>
      <w:r>
        <w:t xml:space="preserve"> ___________________________________________</w:t>
      </w:r>
    </w:p>
    <w:p>
      <w:r>
        <w:br w:type="page"/>
      </w:r>
    </w:p>
    <w:p>
      <w:pPr>
        <w:pStyle w:val="Heading1"/>
      </w:pPr>
      <w:r>
        <w:t>Completed illustrative assessment</w:t>
      </w:r>
    </w:p>
    <w:p>
      <w:pPr>
        <w:spacing w:after="140"/>
      </w:pPr>
      <w:r>
        <w:t>Fictional example only. The vendor, evidence and outcomes below are invented to demonstrate the assessment method. They are not Qanooni product evidence or measured test results.</w:t>
      </w:r>
    </w:p>
    <w:p>
      <w:pPr>
        <w:spacing w:after="160"/>
      </w:pPr>
      <w:r>
        <w:t>Scope: Fictional Vendor A, proposed enterprise plan, sandbox use of the fictional Kettlefield access-test note. Decision owner: the firm assessment lead. Each issue is assessed separately.</w:t>
      </w:r>
    </w:p>
    <w:tbl>
      <w:tblPr>
        <w:tblW w:type="auto" w:w="0"/>
        <w:jc w:val="center"/>
        <w:tblLayout w:type="fixed"/>
        <w:tblLook w:firstColumn="1" w:firstRow="1" w:lastColumn="0" w:lastRow="0" w:noHBand="0" w:noVBand="1" w:val="04A0"/>
      </w:tblPr>
      <w:tblGrid>
        <w:gridCol w:w="1469"/>
        <w:gridCol w:w="4752"/>
        <w:gridCol w:w="4061"/>
      </w:tblGrid>
      <w:tr>
        <w:trPr>
          <w:cantSplit/>
          <w:tblHeader/>
        </w:trPr>
        <w:tc>
          <w:tcPr>
            <w:tcW w:type="dxa" w:w="14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1"/>
              </w:rPr>
              <w:t>Issue</w:t>
            </w:r>
          </w:p>
        </w:tc>
        <w:tc>
          <w:tcPr>
            <w:tcW w:type="dxa" w:w="47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1"/>
              </w:rPr>
              <w:t>Illustrative evidence and assessment</w:t>
            </w:r>
          </w:p>
        </w:tc>
        <w:tc>
          <w:tcPr>
            <w:tcW w:type="dxa" w:w="406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1"/>
              </w:rPr>
              <w:t>Gap owner and required next step</w:t>
            </w:r>
          </w:p>
        </w:tc>
      </w:tr>
      <w:tr>
        <w:trPr>
          <w:cantSplit/>
        </w:trPr>
        <w:tc>
          <w:tcPr>
            <w:tcW w:type="dxa" w:w="14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Training use</w:t>
            </w:r>
          </w:p>
        </w:tc>
        <w:tc>
          <w:tcPr>
            <w:tcW w:type="dxa" w:w="47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EX1: A no-training provision covering the vendor and model providers is supplied. This provision is evidenced in the example; it does not establish deletion or access controls.</w:t>
            </w:r>
          </w:p>
        </w:tc>
        <w:tc>
          <w:tcPr>
            <w:tcW w:type="dxa" w:w="406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Firm legal reviewer: confirm the provision applies to the proposed plan and settings before approval.</w:t>
            </w:r>
          </w:p>
        </w:tc>
      </w:tr>
      <w:tr>
        <w:trPr>
          <w:cantSplit/>
        </w:trPr>
        <w:tc>
          <w:tcPr>
            <w:tcW w:type="dxa" w:w="14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Retention</w:t>
            </w:r>
          </w:p>
        </w:tc>
        <w:tc>
          <w:tcPr>
            <w:tcW w:type="dxa" w:w="47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EX2: The retention schedule covers document files but omits prompts, logs and backups. Status: evidence gap.</w:t>
            </w:r>
          </w:p>
        </w:tc>
        <w:tc>
          <w:tcPr>
            <w:tcW w:type="dxa" w:w="406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Vendor privacy lead: supply the missing periods, deletion rules and exceptions before reassessment.</w:t>
            </w:r>
          </w:p>
        </w:tc>
      </w:tr>
      <w:tr>
        <w:trPr>
          <w:cantSplit/>
        </w:trPr>
        <w:tc>
          <w:tcPr>
            <w:tcW w:type="dxa" w:w="14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Processing locations</w:t>
            </w:r>
          </w:p>
        </w:tc>
        <w:tc>
          <w:tcPr>
            <w:tcW w:type="dxa" w:w="47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EX3: The architecture document names storage locations only. Inference locations are absent. Status: evidence gap.</w:t>
            </w:r>
          </w:p>
        </w:tc>
        <w:tc>
          <w:tcPr>
            <w:tcW w:type="dxa" w:w="406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Vendor security lead: name inference locations and update the data-flow record before reassessment.</w:t>
            </w:r>
          </w:p>
        </w:tc>
      </w:tr>
      <w:tr>
        <w:trPr>
          <w:cantSplit/>
        </w:trPr>
        <w:tc>
          <w:tcPr>
            <w:tcW w:type="dxa" w:w="14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Permission revocation</w:t>
            </w:r>
          </w:p>
        </w:tc>
        <w:tc>
          <w:tcPr>
            <w:tcW w:type="dxa" w:w="47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EX4: After access is revoked and the interval stated by the vendor has elapsed, a request in a new conversation with no prior matter content returns a restricted passage. Status: failed test. The cause has not been established.</w:t>
            </w:r>
          </w:p>
        </w:tc>
        <w:tc>
          <w:tcPr>
            <w:tcW w:type="dxa" w:w="406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1"/>
              </w:rPr>
              <w:t>Vendor engineering lead: investigate and remediate. Firm IT: repeat direct-search, snippet and follow-up tests after remediation.</w:t>
            </w:r>
          </w:p>
        </w:tc>
      </w:tr>
    </w:tbl>
    <w:p>
      <w:pPr>
        <w:spacing w:after="40"/>
      </w:pPr>
      <w:r/>
    </w:p>
    <w:p>
      <w:pPr>
        <w:pStyle w:val="Heading1"/>
      </w:pPr>
      <w:r>
        <w:t>Decision and reassessment</w:t>
      </w:r>
    </w:p>
    <w:p>
      <w:pPr>
        <w:spacing w:after="140"/>
      </w:pPr>
      <w:r>
        <w:t>No client-data use is approved. The fictional sandbox remains available solely for further assessment. The no-training provision does not resolve the retention and location gaps or the failed revocation test.</w:t>
      </w:r>
    </w:p>
    <w:p>
      <w:pPr>
        <w:spacing w:after="140"/>
      </w:pPr>
      <w:r>
        <w:t>The firm assessment lead owns the decision. Each vendor owner must close the assigned gap before reassessment. Firm IT must repeat the permission tests against the corrected configuration and attach the results.</w:t>
      </w:r>
    </w:p>
    <w:p>
      <w:pPr>
        <w:spacing w:after="140"/>
      </w:pPr>
      <w:r>
        <w:t>Reassessment trigger: completed evidence and remediation supplied by the vendor. The firm assessment lead schedules the retest at that point. Until then, the approval restriction remains in place.</w:t>
      </w:r>
    </w:p>
    <w:p>
      <w:pPr>
        <w:spacing w:after="100"/>
      </w:pPr>
      <w:r>
        <w:t>Questions 5 to 8 are not assessed in this example. Supervision, legal sources, subprocessors and action controls still need their own evidence and checks before a real deployment decision.</w:t>
      </w:r>
    </w:p>
    <w:p>
      <w:r>
        <w:br w:type="page"/>
      </w:r>
    </w:p>
    <w:p>
      <w:pPr>
        <w:pStyle w:val="Heading1"/>
      </w:pPr>
      <w:r>
        <w:t>Client data control test script</w:t>
      </w:r>
    </w:p>
    <w:p>
      <w:pPr>
        <w:spacing w:after="100"/>
      </w:pPr>
      <w:r>
        <w:t>Run in an approved test environment using fictional data. Agree the expected behaviour with the firm before testing. Record the product, plan, configuration and date; keep evidence in the approved assessment file.</w:t>
      </w:r>
    </w:p>
    <w:p>
      <w:pPr>
        <w:spacing w:after="80"/>
      </w:pPr>
      <w:r>
        <w:rPr>
          <w:b/>
        </w:rPr>
        <w:t>Product and plan, configuration and date:</w:t>
      </w:r>
      <w:r>
        <w:t xml:space="preserve"> __________________________________</w:t>
      </w:r>
    </w:p>
    <w:p>
      <w:pPr>
        <w:spacing w:after="80"/>
      </w:pPr>
      <w:r>
        <w:rPr>
          <w:b/>
        </w:rPr>
        <w:t>Tester and vendor stated revocation interval:</w:t>
      </w:r>
      <w:r>
        <w:t xml:space="preserve"> ______________________________</w:t>
      </w:r>
    </w:p>
    <w:p>
      <w:pPr>
        <w:spacing w:after="120"/>
      </w:pPr>
      <w:r>
        <w:t>Setup. Create the fictional document "Kettlefield access-test note" with exactly this text: "The internal matter reference is KF-TEST-482. The review meeting is on 14 October 2026." Give user A access and deny user B. Use separate sessions. This note is separate from the contract-review screenshot.</w:t>
      </w:r>
    </w:p>
    <w:p>
      <w:pPr>
        <w:spacing w:after="100"/>
      </w:pPr>
      <w:r>
        <w:t>1. Access. Ask as A: "What is the internal matter reference in the Kettlefield access-test note?" Expect KF-TEST-482. Repeat as B, then ask "What did that note say?" Check direct searches and snippets too. B should receive no restricted content.</w:t>
      </w:r>
    </w:p>
    <w:p>
      <w:pPr>
        <w:spacing w:after="100"/>
      </w:pPr>
      <w:r>
        <w:t>2. Revocation. Revoke source access for A and record the time. Wait the interval stated by the vendor. Start a new conversation with no prior matter content. As A, repeat direct searches, snippet checks and the reference question. Record any restricted content returned.</w:t>
      </w:r>
    </w:p>
    <w:p>
      <w:pPr>
        <w:spacing w:after="100"/>
      </w:pPr>
      <w:r>
        <w:t>3. Existing conversations and earlier answers. Inspect retained history separately. Repeating previously authorised text alone does not establish new retrieval. Record what remains visible or can be repeated, and assess it against the retention and access policy of the firm.</w:t>
      </w:r>
    </w:p>
    <w:p>
      <w:pPr>
        <w:spacing w:after="100"/>
      </w:pPr>
      <w:r>
        <w:t>4. Evidence. Restore and verify access for A. As A, ask "What is the liability cap in the Kettlefield access-test note?" Expect the answer to state that the note does not provide one. Separately, a lawyer supplies a legal question with a known answer and an unavailable-source question. Open citations; check the proposition, jurisdiction and date. Missing support must be stated.</w:t>
      </w:r>
    </w:p>
    <w:p>
      <w:pPr>
        <w:spacing w:after="140"/>
      </w:pPr>
      <w:r>
        <w:t>5. Actions. Using a test destination, exercise drafting, saving, updating and sending separately. Check approved and restricted users, required approvals, cancellation and audit records. Use the settings agreed by the firm as the expected result.</w:t>
      </w:r>
    </w:p>
    <w:p>
      <w:pPr>
        <w:pStyle w:val="Heading1"/>
        <w:spacing w:after="100"/>
      </w:pPr>
      <w:r>
        <w:t>Record outcomes</w:t>
      </w:r>
    </w:p>
    <w:tbl>
      <w:tblPr>
        <w:tblW w:type="auto" w:w="0"/>
        <w:jc w:val="center"/>
        <w:tblLayout w:type="fixed"/>
        <w:tblLook w:firstColumn="1" w:firstRow="1" w:lastColumn="0" w:lastRow="0" w:noHBand="0" w:noVBand="1" w:val="04A0"/>
      </w:tblPr>
      <w:tblGrid>
        <w:gridCol w:w="1440"/>
        <w:gridCol w:w="3269"/>
        <w:gridCol w:w="2131"/>
        <w:gridCol w:w="2016"/>
        <w:gridCol w:w="1426"/>
      </w:tblGrid>
      <w:tr>
        <w:trPr>
          <w:cantSplit/>
          <w:tblHeader/>
        </w:trPr>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0"/>
              </w:rPr>
              <w:t>Test</w:t>
            </w:r>
          </w:p>
        </w:tc>
        <w:tc>
          <w:tcPr>
            <w:tcW w:type="dxa" w:w="32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0"/>
              </w:rPr>
              <w:t>Expected</w:t>
            </w:r>
          </w:p>
        </w:tc>
        <w:tc>
          <w:tcPr>
            <w:tcW w:type="dxa" w:w="213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0"/>
              </w:rPr>
              <w:t>Observed</w:t>
            </w:r>
          </w:p>
        </w:tc>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0"/>
              </w:rPr>
              <w:t>Evidence</w:t>
            </w:r>
          </w:p>
        </w:tc>
        <w:tc>
          <w:tcPr>
            <w:tcW w:type="dxa" w:w="142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9EFF4"/>
          </w:tcPr>
          <w:p>
            <w:pPr>
              <w:spacing w:after="40" w:before="40" w:line="240" w:lineRule="auto"/>
            </w:pPr>
            <w:r>
              <w:rPr>
                <w:b/>
                <w:color w:val="000000"/>
                <w:sz w:val="20"/>
              </w:rPr>
              <w:t>Status</w:t>
            </w:r>
          </w:p>
        </w:tc>
      </w:tr>
      <w:tr>
        <w:trPr>
          <w:cantSplit/>
        </w:trPr>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1 Access</w:t>
            </w:r>
          </w:p>
        </w:tc>
        <w:tc>
          <w:tcPr>
            <w:tcW w:type="dxa" w:w="32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B sees no restricted content.</w:t>
            </w:r>
          </w:p>
        </w:tc>
        <w:tc>
          <w:tcPr>
            <w:tcW w:type="dxa" w:w="213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142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r>
      <w:tr>
        <w:trPr>
          <w:cantSplit/>
        </w:trPr>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2 Revocation</w:t>
            </w:r>
          </w:p>
        </w:tc>
        <w:tc>
          <w:tcPr>
            <w:tcW w:type="dxa" w:w="32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Fresh conversation returns no restricted content after the stated interval.</w:t>
            </w:r>
          </w:p>
        </w:tc>
        <w:tc>
          <w:tcPr>
            <w:tcW w:type="dxa" w:w="213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142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r>
      <w:tr>
        <w:trPr>
          <w:cantSplit/>
        </w:trPr>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3 History</w:t>
            </w:r>
          </w:p>
        </w:tc>
        <w:tc>
          <w:tcPr>
            <w:tcW w:type="dxa" w:w="32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Retained history follows the agreed retention and access policy.</w:t>
            </w:r>
          </w:p>
        </w:tc>
        <w:tc>
          <w:tcPr>
            <w:tcW w:type="dxa" w:w="213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142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r>
      <w:tr>
        <w:trPr>
          <w:cantSplit/>
        </w:trPr>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4 Evidence</w:t>
            </w:r>
          </w:p>
        </w:tc>
        <w:tc>
          <w:tcPr>
            <w:tcW w:type="dxa" w:w="32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No invented cap; legal support is verifiable or its absence stated.</w:t>
            </w:r>
          </w:p>
        </w:tc>
        <w:tc>
          <w:tcPr>
            <w:tcW w:type="dxa" w:w="213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142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r>
      <w:tr>
        <w:trPr>
          <w:cantSplit/>
        </w:trPr>
        <w:tc>
          <w:tcPr>
            <w:tcW w:type="dxa" w:w="144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5 Actions</w:t>
            </w:r>
          </w:p>
        </w:tc>
        <w:tc>
          <w:tcPr>
            <w:tcW w:type="dxa" w:w="3269"/>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t>Each action follows agreed permissions and approvals.</w:t>
            </w:r>
          </w:p>
        </w:tc>
        <w:tc>
          <w:tcPr>
            <w:tcW w:type="dxa" w:w="213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c>
          <w:tcPr>
            <w:tcW w:type="dxa" w:w="142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line="240" w:lineRule="auto"/>
            </w:pPr>
            <w:r>
              <w:rPr>
                <w:color w:val="000000"/>
                <w:sz w:val="20"/>
              </w:rPr>
            </w:r>
          </w:p>
        </w:tc>
      </w:tr>
    </w:tbl>
    <w:p>
      <w:pPr>
        <w:spacing w:after="80" w:before="100"/>
      </w:pPr>
      <w:r>
        <w:rPr>
          <w:sz w:val="20"/>
        </w:rPr>
        <w:t>Status: Pass, Fail, Evidence gap or Not tested. Reference saved outputs or screenshots; record separate results where action controls differ.</w:t>
      </w:r>
    </w:p>
    <w:p>
      <w:pPr>
        <w:spacing w:after="80"/>
      </w:pPr>
      <w:r>
        <w:rPr>
          <w:b/>
        </w:rPr>
        <w:t>Gap owner, remediation and retest date:</w:t>
      </w:r>
      <w:r>
        <w:t xml:space="preserve"> ____________________________________</w:t>
      </w:r>
    </w:p>
    <w:sectPr w:rsidR="00FC693F" w:rsidRPr="0006063C" w:rsidSect="00034616">
      <w:footerReference w:type="default" r:id="rId9"/>
      <w:pgSz w:w="12240" w:h="15840"/>
      <w:pgMar w:top="835" w:right="979" w:bottom="821" w:left="979" w:header="72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000000"/>
        <w:sz w:val="18"/>
      </w:rPr>
      <w:t xml:space="preserve">Qanooni  |  Vendor answer 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 client data checklist</dc:title>
  <dc:subject>Evidence tests and a vendor questionnaire for legal AI assessment</dc:subject>
  <dc:creator>Qanooni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